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color w:val="000000" w:themeColor="text1"/>
          <w:sz w:val="32"/>
          <w:szCs w:val="32"/>
          <w:lang w:val="en-US" w:eastAsia="zh-CN"/>
          <w14:textFill>
            <w14:solidFill>
              <w14:schemeClr w14:val="tx1"/>
            </w14:solidFill>
          </w14:textFill>
        </w:rPr>
      </w:pPr>
      <w:r>
        <w:rPr>
          <w:rFonts w:hint="eastAsia"/>
          <w:b/>
          <w:color w:val="000000" w:themeColor="text1"/>
          <w:sz w:val="32"/>
          <w:szCs w:val="32"/>
          <w:lang w:val="en-US" w:eastAsia="zh-CN"/>
          <w14:textFill>
            <w14:solidFill>
              <w14:schemeClr w14:val="tx1"/>
            </w14:solidFill>
          </w14:textFill>
        </w:rPr>
        <w:t>财务管理 A卷</w:t>
      </w:r>
    </w:p>
    <w:p>
      <w:pPr>
        <w:rPr>
          <w:rFonts w:hint="eastAsia"/>
          <w:b/>
          <w:color w:val="000000" w:themeColor="text1"/>
          <w:sz w:val="32"/>
          <w:szCs w:val="32"/>
          <w14:textFill>
            <w14:solidFill>
              <w14:schemeClr w14:val="tx1"/>
            </w14:solidFill>
          </w14:textFill>
        </w:rPr>
      </w:pPr>
      <w:r>
        <w:rPr>
          <w:rFonts w:hint="eastAsia"/>
          <w:b/>
          <w:color w:val="000000" w:themeColor="text1"/>
          <w:sz w:val="32"/>
          <w:szCs w:val="32"/>
          <w:lang w:val="en-US" w:eastAsia="zh-CN"/>
          <w14:textFill>
            <w14:solidFill>
              <w14:schemeClr w14:val="tx1"/>
            </w14:solidFill>
          </w14:textFill>
        </w:rPr>
        <w:t>一、</w:t>
      </w:r>
      <w:r>
        <w:rPr>
          <w:b/>
          <w:color w:val="000000" w:themeColor="text1"/>
          <w:sz w:val="32"/>
          <w:szCs w:val="32"/>
          <w14:textFill>
            <w14:solidFill>
              <w14:schemeClr w14:val="tx1"/>
            </w14:solidFill>
          </w14:textFill>
        </w:rPr>
        <w:t>单项选择</w:t>
      </w:r>
      <w:r>
        <w:rPr>
          <w:rFonts w:hint="eastAsia"/>
          <w:b/>
          <w:color w:val="000000" w:themeColor="text1"/>
          <w:sz w:val="32"/>
          <w:szCs w:val="32"/>
          <w14:textFill>
            <w14:solidFill>
              <w14:schemeClr w14:val="tx1"/>
            </w14:solidFill>
          </w14:textFill>
        </w:rPr>
        <w:t>题</w:t>
      </w:r>
    </w:p>
    <w:p>
      <w:pPr>
        <w:rPr>
          <w:rFonts w:hint="eastAsia"/>
          <w:b/>
          <w:color w:val="000000" w:themeColor="text1"/>
          <w:sz w:val="32"/>
          <w:szCs w:val="32"/>
          <w:lang w:val="en-US" w:eastAsia="zh-CN"/>
          <w14:textFill>
            <w14:solidFill>
              <w14:schemeClr w14:val="tx1"/>
            </w14:solidFill>
          </w14:textFill>
        </w:rPr>
      </w:pPr>
      <w:r>
        <w:rPr>
          <w:rFonts w:hint="eastAsia"/>
          <w:b/>
          <w:color w:val="000000" w:themeColor="text1"/>
          <w:sz w:val="32"/>
          <w:szCs w:val="32"/>
          <w:lang w:val="en-US" w:eastAsia="zh-CN"/>
          <w14:textFill>
            <w14:solidFill>
              <w14:schemeClr w14:val="tx1"/>
            </w14:solidFill>
          </w14:textFill>
        </w:rPr>
        <w:t xml:space="preserve">1-5 ADADC </w:t>
      </w:r>
    </w:p>
    <w:p>
      <w:pPr>
        <w:rPr>
          <w:rFonts w:hint="eastAsia"/>
          <w:b/>
          <w:color w:val="000000" w:themeColor="text1"/>
          <w:sz w:val="32"/>
          <w:szCs w:val="32"/>
          <w:lang w:val="en-US" w:eastAsia="zh-CN"/>
          <w14:textFill>
            <w14:solidFill>
              <w14:schemeClr w14:val="tx1"/>
            </w14:solidFill>
          </w14:textFill>
        </w:rPr>
      </w:pPr>
      <w:r>
        <w:rPr>
          <w:rFonts w:hint="eastAsia"/>
          <w:b/>
          <w:color w:val="000000" w:themeColor="text1"/>
          <w:sz w:val="32"/>
          <w:szCs w:val="32"/>
          <w:lang w:val="en-US" w:eastAsia="zh-CN"/>
          <w14:textFill>
            <w14:solidFill>
              <w14:schemeClr w14:val="tx1"/>
            </w14:solidFill>
          </w14:textFill>
        </w:rPr>
        <w:t>6、B</w:t>
      </w:r>
    </w:p>
    <w:p>
      <w:pPr>
        <w:rPr>
          <w:rFonts w:hint="eastAsia"/>
          <w:b/>
          <w:color w:val="000000" w:themeColor="text1"/>
          <w:sz w:val="32"/>
          <w:szCs w:val="32"/>
          <w:lang w:val="en-US" w:eastAsia="zh-CN"/>
          <w14:textFill>
            <w14:solidFill>
              <w14:schemeClr w14:val="tx1"/>
            </w14:solidFill>
          </w14:textFill>
        </w:rPr>
      </w:pPr>
      <w:r>
        <w:rPr>
          <w:rFonts w:hint="eastAsia"/>
          <w:b/>
          <w:color w:val="000000" w:themeColor="text1"/>
          <w:sz w:val="32"/>
          <w:szCs w:val="32"/>
          <w:lang w:val="en-US" w:eastAsia="zh-CN"/>
          <w14:textFill>
            <w14:solidFill>
              <w14:schemeClr w14:val="tx1"/>
            </w14:solidFill>
          </w14:textFill>
        </w:rPr>
        <w:t xml:space="preserve">7、A </w:t>
      </w:r>
    </w:p>
    <w:p>
      <w:pPr>
        <w:rPr>
          <w:rFonts w:hint="default"/>
          <w:b/>
          <w:color w:val="000000" w:themeColor="text1"/>
          <w:sz w:val="32"/>
          <w:szCs w:val="32"/>
          <w:lang w:val="en-US" w:eastAsia="zh-CN"/>
          <w14:textFill>
            <w14:solidFill>
              <w14:schemeClr w14:val="tx1"/>
            </w14:solidFill>
          </w14:textFill>
        </w:rPr>
      </w:pPr>
      <w:r>
        <w:rPr>
          <w:rFonts w:hint="eastAsia"/>
          <w:b/>
          <w:color w:val="000000" w:themeColor="text1"/>
          <w:sz w:val="32"/>
          <w:szCs w:val="32"/>
          <w:lang w:val="en-US" w:eastAsia="zh-CN"/>
          <w14:textFill>
            <w14:solidFill>
              <w14:schemeClr w14:val="tx1"/>
            </w14:solidFill>
          </w14:textFill>
        </w:rPr>
        <w:t>8、D</w:t>
      </w:r>
    </w:p>
    <w:p>
      <w:pPr>
        <w:rPr>
          <w:rFonts w:hint="eastAsia"/>
          <w:b/>
          <w:color w:val="000000" w:themeColor="text1"/>
          <w:sz w:val="32"/>
          <w:szCs w:val="32"/>
          <w:lang w:val="en-US" w:eastAsia="zh-CN"/>
          <w14:textFill>
            <w14:solidFill>
              <w14:schemeClr w14:val="tx1"/>
            </w14:solidFill>
          </w14:textFill>
        </w:rPr>
      </w:pPr>
      <w:r>
        <w:rPr>
          <w:rFonts w:hint="eastAsia"/>
          <w:b/>
          <w:color w:val="000000" w:themeColor="text1"/>
          <w:sz w:val="32"/>
          <w:szCs w:val="32"/>
          <w:lang w:val="en-US" w:eastAsia="zh-CN"/>
          <w14:textFill>
            <w14:solidFill>
              <w14:schemeClr w14:val="tx1"/>
            </w14:solidFill>
          </w14:textFill>
        </w:rPr>
        <w:t>9、</w:t>
      </w:r>
    </w:p>
    <w:p>
      <w:pPr>
        <w:rPr>
          <w:rFonts w:hint="eastAsia"/>
          <w:b/>
          <w:color w:val="000000" w:themeColor="text1"/>
          <w:sz w:val="32"/>
          <w:szCs w:val="32"/>
          <w:lang w:val="en-US" w:eastAsia="zh-CN"/>
          <w14:textFill>
            <w14:solidFill>
              <w14:schemeClr w14:val="tx1"/>
            </w14:solidFill>
          </w14:textFill>
        </w:rPr>
      </w:pPr>
      <w:r>
        <w:rPr>
          <w:rFonts w:hint="eastAsia"/>
          <w:b/>
          <w:color w:val="000000" w:themeColor="text1"/>
          <w:sz w:val="32"/>
          <w:szCs w:val="32"/>
          <w:lang w:val="en-US" w:eastAsia="zh-CN"/>
          <w14:textFill>
            <w14:solidFill>
              <w14:schemeClr w14:val="tx1"/>
            </w14:solidFill>
          </w14:textFill>
        </w:rPr>
        <w:t>C</w:t>
      </w:r>
    </w:p>
    <w:p>
      <w:pPr>
        <w:rPr>
          <w:rFonts w:hint="eastAsia"/>
          <w:b/>
          <w:color w:val="000000" w:themeColor="text1"/>
          <w:sz w:val="32"/>
          <w:szCs w:val="32"/>
          <w:lang w:val="en-US" w:eastAsia="zh-CN"/>
          <w14:textFill>
            <w14:solidFill>
              <w14:schemeClr w14:val="tx1"/>
            </w14:solidFill>
          </w14:textFill>
        </w:rPr>
      </w:pPr>
      <w:r>
        <w:rPr>
          <w:rFonts w:hint="eastAsia"/>
          <w:b/>
          <w:color w:val="000000" w:themeColor="text1"/>
          <w:sz w:val="32"/>
          <w:szCs w:val="32"/>
          <w:lang w:val="en-US" w:eastAsia="zh-CN"/>
          <w14:textFill>
            <w14:solidFill>
              <w14:schemeClr w14:val="tx1"/>
            </w14:solidFill>
          </w14:textFill>
        </w:rPr>
        <w:t>10、C</w:t>
      </w:r>
    </w:p>
    <w:p>
      <w:pPr>
        <w:rPr>
          <w:rFonts w:hint="eastAsia"/>
          <w:b/>
          <w:sz w:val="32"/>
          <w:szCs w:val="32"/>
        </w:rPr>
      </w:pPr>
      <w:r>
        <w:rPr>
          <w:rFonts w:hint="eastAsia"/>
          <w:b/>
          <w:sz w:val="32"/>
          <w:szCs w:val="32"/>
          <w:lang w:val="en-US" w:eastAsia="zh-CN"/>
        </w:rPr>
        <w:t>二、</w:t>
      </w:r>
      <w:r>
        <w:rPr>
          <w:rFonts w:hint="eastAsia"/>
          <w:b/>
          <w:sz w:val="32"/>
          <w:szCs w:val="32"/>
        </w:rPr>
        <w:t>多项选择题</w:t>
      </w:r>
    </w:p>
    <w:p>
      <w:pPr>
        <w:rPr>
          <w:rFonts w:hint="eastAsia"/>
          <w:b/>
          <w:sz w:val="32"/>
          <w:szCs w:val="32"/>
          <w:lang w:val="en-US" w:eastAsia="zh-CN"/>
        </w:rPr>
      </w:pPr>
      <w:r>
        <w:rPr>
          <w:rFonts w:hint="eastAsia"/>
          <w:b/>
          <w:sz w:val="32"/>
          <w:szCs w:val="32"/>
          <w:lang w:val="en-US" w:eastAsia="zh-CN"/>
        </w:rPr>
        <w:t xml:space="preserve">1、 ABC </w:t>
      </w:r>
    </w:p>
    <w:p>
      <w:pPr>
        <w:rPr>
          <w:rFonts w:hint="default"/>
          <w:b/>
          <w:sz w:val="32"/>
          <w:szCs w:val="32"/>
          <w:lang w:val="en-US" w:eastAsia="zh-CN"/>
        </w:rPr>
      </w:pPr>
      <w:r>
        <w:rPr>
          <w:rFonts w:hint="eastAsia"/>
          <w:b/>
          <w:sz w:val="32"/>
          <w:szCs w:val="32"/>
          <w:lang w:val="en-US" w:eastAsia="zh-CN"/>
        </w:rPr>
        <w:t>2、ABCDE</w:t>
      </w:r>
    </w:p>
    <w:p>
      <w:pPr>
        <w:rPr>
          <w:rFonts w:hint="eastAsia"/>
          <w:b/>
          <w:sz w:val="32"/>
          <w:szCs w:val="32"/>
          <w:lang w:val="en-US" w:eastAsia="zh-CN"/>
        </w:rPr>
      </w:pPr>
      <w:r>
        <w:rPr>
          <w:rFonts w:hint="eastAsia"/>
          <w:b/>
          <w:sz w:val="32"/>
          <w:szCs w:val="32"/>
          <w:lang w:val="en-US" w:eastAsia="zh-CN"/>
        </w:rPr>
        <w:t xml:space="preserve">3、  </w:t>
      </w:r>
    </w:p>
    <w:p>
      <w:pPr>
        <w:rPr>
          <w:rFonts w:hint="eastAsia"/>
          <w:b/>
          <w:sz w:val="32"/>
          <w:szCs w:val="32"/>
          <w:lang w:val="en-US" w:eastAsia="zh-CN"/>
        </w:rPr>
      </w:pPr>
      <w:r>
        <w:rPr>
          <w:rFonts w:hint="eastAsia"/>
          <w:b/>
          <w:sz w:val="32"/>
          <w:szCs w:val="32"/>
          <w:lang w:val="en-US" w:eastAsia="zh-CN"/>
        </w:rPr>
        <w:t xml:space="preserve">4、BCD  </w:t>
      </w:r>
    </w:p>
    <w:p>
      <w:pPr>
        <w:rPr>
          <w:rFonts w:hint="default"/>
          <w:b/>
          <w:sz w:val="32"/>
          <w:szCs w:val="32"/>
          <w:lang w:val="en-US" w:eastAsia="zh-CN"/>
        </w:rPr>
      </w:pPr>
      <w:r>
        <w:rPr>
          <w:rFonts w:hint="eastAsia"/>
          <w:b/>
          <w:sz w:val="32"/>
          <w:szCs w:val="32"/>
          <w:lang w:val="en-US" w:eastAsia="zh-CN"/>
        </w:rPr>
        <w:t>5、CD</w:t>
      </w:r>
    </w:p>
    <w:p>
      <w:pPr>
        <w:rPr>
          <w:rFonts w:hint="default"/>
          <w:b/>
          <w:sz w:val="32"/>
          <w:szCs w:val="32"/>
          <w:lang w:val="en-US" w:eastAsia="zh-CN"/>
        </w:rPr>
      </w:pPr>
      <w:r>
        <w:rPr>
          <w:rFonts w:hint="eastAsia"/>
          <w:b/>
          <w:sz w:val="32"/>
          <w:szCs w:val="32"/>
          <w:lang w:val="en-US" w:eastAsia="zh-CN"/>
        </w:rPr>
        <w:t>6、 B</w:t>
      </w:r>
    </w:p>
    <w:p>
      <w:pPr>
        <w:rPr>
          <w:rFonts w:hint="eastAsia"/>
          <w:b/>
          <w:sz w:val="32"/>
          <w:szCs w:val="32"/>
          <w:lang w:val="en-US" w:eastAsia="zh-CN"/>
        </w:rPr>
      </w:pPr>
      <w:r>
        <w:rPr>
          <w:rFonts w:hint="eastAsia"/>
          <w:b/>
          <w:sz w:val="32"/>
          <w:szCs w:val="32"/>
          <w:lang w:val="en-US" w:eastAsia="zh-CN"/>
        </w:rPr>
        <w:t xml:space="preserve">7、AD </w:t>
      </w:r>
    </w:p>
    <w:p>
      <w:pPr>
        <w:rPr>
          <w:rFonts w:hint="eastAsia"/>
          <w:b/>
          <w:sz w:val="32"/>
          <w:szCs w:val="32"/>
          <w:lang w:val="en-US" w:eastAsia="zh-CN"/>
        </w:rPr>
      </w:pPr>
      <w:r>
        <w:rPr>
          <w:rFonts w:hint="eastAsia"/>
          <w:b/>
          <w:sz w:val="32"/>
          <w:szCs w:val="32"/>
          <w:lang w:val="en-US" w:eastAsia="zh-CN"/>
        </w:rPr>
        <w:t xml:space="preserve">8、ABC </w:t>
      </w:r>
    </w:p>
    <w:p>
      <w:pPr>
        <w:rPr>
          <w:rFonts w:hint="eastAsia"/>
          <w:b/>
          <w:sz w:val="32"/>
          <w:szCs w:val="32"/>
          <w:lang w:val="en-US" w:eastAsia="zh-CN"/>
        </w:rPr>
      </w:pPr>
      <w:r>
        <w:rPr>
          <w:rFonts w:hint="eastAsia"/>
          <w:b/>
          <w:sz w:val="32"/>
          <w:szCs w:val="32"/>
          <w:lang w:val="en-US" w:eastAsia="zh-CN"/>
        </w:rPr>
        <w:t xml:space="preserve">9、ABCD </w:t>
      </w:r>
    </w:p>
    <w:p>
      <w:pPr>
        <w:rPr>
          <w:rFonts w:hint="default"/>
          <w:b/>
          <w:sz w:val="32"/>
          <w:szCs w:val="32"/>
          <w:lang w:val="en-US" w:eastAsia="zh-CN"/>
        </w:rPr>
      </w:pPr>
      <w:r>
        <w:rPr>
          <w:rFonts w:hint="eastAsia"/>
          <w:b/>
          <w:sz w:val="32"/>
          <w:szCs w:val="32"/>
          <w:lang w:val="en-US" w:eastAsia="zh-CN"/>
        </w:rPr>
        <w:t>10、ACD</w:t>
      </w:r>
    </w:p>
    <w:p>
      <w:pPr>
        <w:rPr>
          <w:rFonts w:hint="eastAsia" w:ascii="宋体" w:hAnsi="宋体" w:cs="宋体"/>
          <w:b/>
          <w:bCs/>
          <w:sz w:val="32"/>
          <w:szCs w:val="32"/>
        </w:rPr>
      </w:pPr>
      <w:r>
        <w:rPr>
          <w:rFonts w:hint="eastAsia" w:ascii="宋体" w:hAnsi="宋体" w:cs="宋体"/>
          <w:b/>
          <w:bCs/>
          <w:sz w:val="32"/>
          <w:szCs w:val="32"/>
        </w:rPr>
        <w:t>三、名词解释</w:t>
      </w:r>
    </w:p>
    <w:p>
      <w:pPr>
        <w:spacing w:line="360" w:lineRule="auto"/>
        <w:rPr>
          <w:rFonts w:ascii="宋体" w:hAnsi="宋体" w:cs="宋体"/>
          <w:sz w:val="32"/>
          <w:szCs w:val="32"/>
        </w:rPr>
      </w:pPr>
      <w:r>
        <w:rPr>
          <w:rFonts w:hint="eastAsia" w:ascii="宋体" w:hAnsi="宋体" w:cs="宋体"/>
          <w:sz w:val="32"/>
          <w:szCs w:val="32"/>
        </w:rPr>
        <w:t>1．财务分层管理体系</w:t>
      </w:r>
    </w:p>
    <w:p>
      <w:pPr>
        <w:spacing w:line="360" w:lineRule="auto"/>
        <w:rPr>
          <w:rFonts w:ascii="宋体" w:hAnsi="宋体" w:cs="宋体"/>
          <w:sz w:val="32"/>
          <w:szCs w:val="32"/>
        </w:rPr>
      </w:pPr>
      <w:r>
        <w:rPr>
          <w:rFonts w:hint="eastAsia" w:ascii="宋体" w:hAnsi="宋体" w:cs="宋体"/>
          <w:sz w:val="32"/>
          <w:szCs w:val="32"/>
        </w:rPr>
        <w:t>财务分层管理体系是指当企业采取公司制组织形式时，股东大会、经营者（董事会、总经理）、财务经理三者分别按自身的权责，对某一财务事项分别就决策、控制及监督三者间形成相互制衡的管理体系，它包括出资者财务、经营者财务、财务经理财务。</w:t>
      </w:r>
    </w:p>
    <w:p>
      <w:pPr>
        <w:spacing w:line="360" w:lineRule="auto"/>
        <w:rPr>
          <w:rFonts w:ascii="宋体" w:hAnsi="宋体" w:cs="宋体"/>
          <w:sz w:val="32"/>
          <w:szCs w:val="32"/>
        </w:rPr>
      </w:pPr>
      <w:r>
        <w:rPr>
          <w:rFonts w:hint="eastAsia" w:ascii="宋体" w:hAnsi="宋体" w:cs="宋体"/>
          <w:sz w:val="32"/>
          <w:szCs w:val="32"/>
        </w:rPr>
        <w:t>2．成本效益观念</w:t>
      </w:r>
    </w:p>
    <w:p>
      <w:pPr>
        <w:spacing w:line="360" w:lineRule="auto"/>
        <w:rPr>
          <w:rFonts w:hint="eastAsia" w:ascii="宋体" w:hAnsi="宋体" w:cs="宋体" w:eastAsiaTheme="minorEastAsia"/>
          <w:sz w:val="32"/>
          <w:szCs w:val="32"/>
          <w:lang w:eastAsia="zh-CN"/>
        </w:rPr>
      </w:pPr>
      <w:r>
        <w:rPr>
          <w:rFonts w:hint="eastAsia" w:ascii="宋体" w:hAnsi="宋体" w:cs="宋体"/>
          <w:sz w:val="32"/>
          <w:szCs w:val="32"/>
        </w:rPr>
        <w:t>成本效益观念是指作出一项财务决策要以效益大于成本为原则，即某一项目的效益大于其所需成本时，予以采纳；否则，放弃</w:t>
      </w:r>
      <w:r>
        <w:rPr>
          <w:rFonts w:hint="eastAsia" w:ascii="宋体" w:hAnsi="宋体" w:cs="宋体"/>
          <w:sz w:val="32"/>
          <w:szCs w:val="32"/>
          <w:lang w:eastAsia="zh-CN"/>
        </w:rPr>
        <w:t>。</w:t>
      </w:r>
    </w:p>
    <w:p>
      <w:pPr>
        <w:spacing w:line="360" w:lineRule="auto"/>
        <w:rPr>
          <w:rFonts w:ascii="宋体" w:hAnsi="宋体" w:cs="宋体"/>
          <w:sz w:val="32"/>
          <w:szCs w:val="32"/>
        </w:rPr>
      </w:pPr>
      <w:r>
        <w:rPr>
          <w:rFonts w:hint="eastAsia" w:ascii="宋体" w:hAnsi="宋体" w:cs="宋体"/>
          <w:sz w:val="32"/>
          <w:szCs w:val="32"/>
        </w:rPr>
        <w:t>3．无差异点分析法</w:t>
      </w:r>
    </w:p>
    <w:p>
      <w:pPr>
        <w:spacing w:line="360" w:lineRule="auto"/>
        <w:rPr>
          <w:rFonts w:ascii="宋体" w:hAnsi="宋体" w:cs="宋体"/>
          <w:sz w:val="32"/>
          <w:szCs w:val="32"/>
        </w:rPr>
      </w:pPr>
      <w:r>
        <w:rPr>
          <w:rFonts w:hint="eastAsia" w:ascii="宋体" w:hAnsi="宋体" w:cs="宋体"/>
          <w:sz w:val="32"/>
          <w:szCs w:val="32"/>
        </w:rPr>
        <w:t>无差异点分析法。无差异点分析法是一种确定最佳资本结构的方法，也称为EBITEPS法，它利用税后净资产收益率无差异点（股份公司则为每股净收益）的分析来选择和确定负债与权益间的比例或数量关系。</w:t>
      </w:r>
    </w:p>
    <w:p>
      <w:pPr>
        <w:spacing w:line="360" w:lineRule="auto"/>
        <w:rPr>
          <w:rFonts w:ascii="宋体" w:hAnsi="宋体" w:cs="宋体"/>
          <w:sz w:val="32"/>
          <w:szCs w:val="32"/>
        </w:rPr>
      </w:pPr>
      <w:r>
        <w:rPr>
          <w:rFonts w:hint="eastAsia" w:ascii="宋体" w:hAnsi="宋体" w:cs="宋体"/>
          <w:sz w:val="32"/>
          <w:szCs w:val="32"/>
        </w:rPr>
        <w:t>4．信用政策</w:t>
      </w:r>
    </w:p>
    <w:p>
      <w:pPr>
        <w:spacing w:line="360" w:lineRule="auto"/>
        <w:rPr>
          <w:rFonts w:ascii="宋体" w:hAnsi="宋体" w:cs="宋体"/>
          <w:sz w:val="32"/>
          <w:szCs w:val="32"/>
        </w:rPr>
      </w:pPr>
      <w:r>
        <w:rPr>
          <w:rFonts w:hint="eastAsia" w:ascii="宋体" w:hAnsi="宋体" w:cs="宋体"/>
          <w:sz w:val="32"/>
          <w:szCs w:val="32"/>
        </w:rPr>
        <w:t>信用政策：即应收账款的管理政策，是指企业为对应收账款投资进行规划与控制而确定的基本原则与行为规范，包括信用标准、信用条件和收账方针三部分内容。</w:t>
      </w:r>
    </w:p>
    <w:p>
      <w:pPr>
        <w:numPr>
          <w:ilvl w:val="0"/>
          <w:numId w:val="1"/>
        </w:numPr>
        <w:spacing w:line="360" w:lineRule="auto"/>
        <w:rPr>
          <w:rFonts w:ascii="宋体" w:hAnsi="宋体" w:cs="宋体"/>
          <w:sz w:val="32"/>
          <w:szCs w:val="32"/>
        </w:rPr>
      </w:pPr>
      <w:r>
        <w:rPr>
          <w:rFonts w:hint="eastAsia" w:ascii="宋体" w:hAnsi="宋体" w:cs="宋体"/>
          <w:sz w:val="32"/>
          <w:szCs w:val="32"/>
        </w:rPr>
        <w:t>市盈率</w:t>
      </w:r>
    </w:p>
    <w:p>
      <w:pPr>
        <w:rPr>
          <w:rFonts w:hint="eastAsia" w:ascii="宋体" w:hAnsi="宋体" w:cs="宋体"/>
          <w:b/>
          <w:bCs/>
          <w:sz w:val="32"/>
          <w:szCs w:val="32"/>
          <w:lang w:val="en-US" w:eastAsia="zh-CN"/>
        </w:rPr>
        <w:sectPr>
          <w:pgSz w:w="11906" w:h="16838"/>
          <w:pgMar w:top="1440" w:right="1800" w:bottom="1440" w:left="1800" w:header="851" w:footer="992" w:gutter="0"/>
          <w:cols w:space="425" w:num="1"/>
          <w:docGrid w:type="lines" w:linePitch="312" w:charSpace="0"/>
        </w:sectPr>
      </w:pPr>
      <w:r>
        <w:rPr>
          <w:rFonts w:hint="eastAsia" w:ascii="宋体" w:hAnsi="宋体" w:cs="宋体"/>
          <w:b/>
          <w:bCs/>
          <w:sz w:val="32"/>
          <w:szCs w:val="32"/>
          <w:lang w:val="en-US" w:eastAsia="zh-CN"/>
        </w:rPr>
        <w:t xml:space="preserve">   </w:t>
      </w:r>
      <w:r>
        <w:rPr>
          <w:rStyle w:val="7"/>
          <w:rFonts w:ascii="Arial" w:hAnsi="Arial" w:eastAsia="宋体" w:cs="Arial"/>
          <w:b/>
          <w:bCs/>
          <w:i w:val="0"/>
          <w:iCs w:val="0"/>
          <w:caps w:val="0"/>
          <w:color w:val="333333"/>
          <w:spacing w:val="0"/>
          <w:sz w:val="21"/>
          <w:szCs w:val="21"/>
          <w:shd w:val="clear" w:fill="FFFFFF"/>
        </w:rPr>
        <w:t>市盈率是指股票价格除以每股收益(每股收益,EPS)的比率。</w:t>
      </w:r>
      <w:bookmarkStart w:id="0" w:name="_GoBack"/>
      <w:bookmarkEnd w:id="0"/>
    </w:p>
    <w:p>
      <w:pPr>
        <w:numPr>
          <w:ilvl w:val="0"/>
          <w:numId w:val="2"/>
        </w:numPr>
        <w:spacing w:line="288" w:lineRule="auto"/>
        <w:rPr>
          <w:rFonts w:hint="eastAsia" w:ascii="宋体" w:hAnsi="宋体" w:cs="宋体"/>
          <w:b/>
          <w:bCs/>
          <w:sz w:val="32"/>
          <w:szCs w:val="32"/>
        </w:rPr>
      </w:pPr>
      <w:r>
        <w:rPr>
          <w:rFonts w:hint="eastAsia" w:ascii="宋体" w:hAnsi="宋体" w:cs="宋体"/>
          <w:b/>
          <w:bCs/>
          <w:sz w:val="32"/>
          <w:szCs w:val="32"/>
        </w:rPr>
        <w:t>综合分析题</w:t>
      </w:r>
    </w:p>
    <w:p>
      <w:pPr>
        <w:numPr>
          <w:ilvl w:val="0"/>
          <w:numId w:val="0"/>
        </w:numPr>
        <w:spacing w:line="288" w:lineRule="auto"/>
        <w:rPr>
          <w:rFonts w:ascii="宋体" w:hAnsi="宋体" w:cs="宋体"/>
          <w:sz w:val="32"/>
          <w:szCs w:val="32"/>
        </w:rPr>
      </w:pPr>
      <w:r>
        <w:rPr>
          <w:rFonts w:hint="eastAsia" w:ascii="宋体" w:hAnsi="宋体" w:cs="宋体"/>
          <w:sz w:val="32"/>
          <w:szCs w:val="32"/>
          <w:lang w:eastAsia="zh-CN"/>
        </w:rPr>
        <w:t>（</w:t>
      </w:r>
      <w:r>
        <w:rPr>
          <w:rFonts w:hint="eastAsia" w:ascii="宋体" w:hAnsi="宋体" w:cs="宋体"/>
          <w:sz w:val="32"/>
          <w:szCs w:val="32"/>
          <w:lang w:val="en-US" w:eastAsia="zh-CN"/>
        </w:rPr>
        <w:t>1</w:t>
      </w:r>
      <w:r>
        <w:rPr>
          <w:rFonts w:hint="eastAsia" w:ascii="宋体" w:hAnsi="宋体" w:cs="宋体"/>
          <w:sz w:val="32"/>
          <w:szCs w:val="32"/>
          <w:lang w:eastAsia="zh-CN"/>
        </w:rPr>
        <w:t>）</w:t>
      </w:r>
      <w:r>
        <w:rPr>
          <w:rFonts w:hint="eastAsia" w:ascii="宋体" w:hAnsi="宋体" w:cs="宋体"/>
          <w:sz w:val="32"/>
          <w:szCs w:val="32"/>
        </w:rPr>
        <w:t>①为保护目前资本结构，则股权资本在新投资中所占比例也应为50%。即：权益资本融资需要=700×50％=350（万元）按照剩余股利政策，投资所需的权益资本350万元应先从当年盈余中留用。因此明年的对外筹资额即为需用债务方式筹措的资金，即：对外筹措债务资金额=700×50％＝350（万元）</w:t>
      </w:r>
    </w:p>
    <w:p>
      <w:pPr>
        <w:spacing w:line="288" w:lineRule="auto"/>
        <w:rPr>
          <w:rFonts w:ascii="宋体" w:hAnsi="宋体" w:cs="宋体"/>
          <w:sz w:val="32"/>
          <w:szCs w:val="32"/>
        </w:rPr>
      </w:pPr>
      <w:r>
        <w:rPr>
          <w:rFonts w:hint="eastAsia" w:ascii="宋体" w:hAnsi="宋体" w:cs="宋体"/>
          <w:sz w:val="32"/>
          <w:szCs w:val="32"/>
          <w:lang w:val="en-US" w:eastAsia="zh-CN"/>
        </w:rPr>
        <w:t>2</w:t>
      </w:r>
      <w:r>
        <w:rPr>
          <w:rFonts w:hint="eastAsia" w:ascii="宋体" w:hAnsi="宋体" w:cs="宋体"/>
          <w:sz w:val="32"/>
          <w:szCs w:val="32"/>
          <w:lang w:eastAsia="zh-CN"/>
        </w:rPr>
        <w:t>）</w:t>
      </w:r>
      <w:r>
        <w:rPr>
          <w:rFonts w:hint="eastAsia" w:ascii="宋体" w:hAnsi="宋体" w:cs="宋体"/>
          <w:sz w:val="32"/>
          <w:szCs w:val="32"/>
        </w:rPr>
        <w:t>可发放股利=800-350＝450（万元）股利发放率=450／800×100％＝56.25％。即，可发放450万元的股利额；股利发放率为56.25％。</w:t>
      </w:r>
    </w:p>
    <w:p>
      <w:pPr>
        <w:spacing w:line="288" w:lineRule="auto"/>
        <w:rPr>
          <w:rFonts w:ascii="宋体" w:hAnsi="宋体" w:cs="宋体"/>
          <w:sz w:val="32"/>
          <w:szCs w:val="32"/>
        </w:rPr>
      </w:pPr>
    </w:p>
    <w:p>
      <w:pPr>
        <w:numPr>
          <w:ilvl w:val="0"/>
          <w:numId w:val="0"/>
        </w:numPr>
        <w:spacing w:line="288" w:lineRule="auto"/>
        <w:rPr>
          <w:rFonts w:hint="eastAsia" w:ascii="宋体" w:hAnsi="宋体" w:cs="宋体"/>
          <w:sz w:val="32"/>
          <w:szCs w:val="32"/>
        </w:rPr>
      </w:pPr>
    </w:p>
    <w:p>
      <w:pPr>
        <w:numPr>
          <w:ilvl w:val="0"/>
          <w:numId w:val="0"/>
        </w:numPr>
        <w:spacing w:line="288" w:lineRule="auto"/>
        <w:rPr>
          <w:rFonts w:hint="eastAsia" w:ascii="宋体" w:hAnsi="宋体" w:cs="宋体"/>
          <w:sz w:val="32"/>
          <w:szCs w:val="32"/>
        </w:rPr>
      </w:pPr>
      <w:r>
        <w:rPr>
          <w:rFonts w:hint="eastAsia" w:ascii="宋体" w:hAnsi="宋体" w:cs="宋体"/>
          <w:sz w:val="32"/>
          <w:szCs w:val="32"/>
          <w:lang w:val="en-US" w:eastAsia="zh-CN"/>
        </w:rPr>
        <w:t>(1)</w:t>
      </w:r>
      <w:r>
        <w:rPr>
          <w:rFonts w:hint="eastAsia" w:ascii="宋体" w:hAnsi="宋体" w:cs="宋体"/>
          <w:sz w:val="32"/>
          <w:szCs w:val="32"/>
        </w:rPr>
        <w:t>计算债券发行价格=150×5.019+1000×0.247=1000元</w:t>
      </w:r>
      <w:r>
        <w:rPr>
          <w:rFonts w:hint="eastAsia" w:ascii="宋体" w:hAnsi="宋体" w:cs="宋体"/>
          <w:sz w:val="32"/>
          <w:szCs w:val="32"/>
        </w:rPr>
        <w:cr/>
      </w:r>
      <w:r>
        <w:rPr>
          <w:rFonts w:hint="eastAsia" w:ascii="宋体" w:hAnsi="宋体" w:cs="宋体"/>
          <w:sz w:val="32"/>
          <w:szCs w:val="32"/>
        </w:rPr>
        <w:t xml:space="preserve">  (2)债券成本率、优先股成本率和项目综合成本率</w:t>
      </w:r>
    </w:p>
    <w:p>
      <w:pPr>
        <w:numPr>
          <w:ilvl w:val="0"/>
          <w:numId w:val="0"/>
        </w:numPr>
        <w:spacing w:line="288" w:lineRule="auto"/>
        <w:rPr>
          <w:rFonts w:hint="eastAsia" w:ascii="宋体" w:hAnsi="宋体" w:cs="宋体"/>
          <w:sz w:val="32"/>
          <w:szCs w:val="32"/>
        </w:rPr>
      </w:pPr>
      <w:r>
        <w:rPr>
          <w:rFonts w:hint="eastAsia" w:ascii="宋体" w:hAnsi="宋体" w:cs="宋体"/>
          <w:sz w:val="32"/>
          <w:szCs w:val="32"/>
          <w:lang w:val="en-US" w:eastAsia="zh-CN"/>
        </w:rPr>
        <w:t>(2）</w:t>
      </w:r>
      <w:r>
        <w:rPr>
          <w:rFonts w:hint="eastAsia" w:ascii="宋体" w:hAnsi="宋体" w:cs="宋体"/>
          <w:sz w:val="32"/>
          <w:szCs w:val="32"/>
        </w:rPr>
        <w:t>债券成本率=15％×（1—34％）／（1—1%）=10％优先股成本率=19.49%／（1—3％）=20％综合资本成本=10％×（（1600×1000）／2000000）+20％×（（2000000—1600X1000&gt;／2000000）=12％</w:t>
      </w:r>
    </w:p>
    <w:p>
      <w:pPr>
        <w:rPr>
          <w:rFonts w:hint="default" w:ascii="宋体" w:hAnsi="宋体" w:cs="宋体"/>
          <w:b/>
          <w:bCs/>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812FA1"/>
    <w:multiLevelType w:val="singleLevel"/>
    <w:tmpl w:val="A7812FA1"/>
    <w:lvl w:ilvl="0" w:tentative="0">
      <w:start w:val="5"/>
      <w:numFmt w:val="decimal"/>
      <w:suff w:val="nothing"/>
      <w:lvlText w:val="%1．"/>
      <w:lvlJc w:val="left"/>
    </w:lvl>
  </w:abstractNum>
  <w:abstractNum w:abstractNumId="1">
    <w:nsid w:val="B5029ECB"/>
    <w:multiLevelType w:val="singleLevel"/>
    <w:tmpl w:val="B5029ECB"/>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hZWRiNDA1ODQzNWZiM2M0NzZlY2FhZTJhY2Q3OTAifQ=="/>
  </w:docVars>
  <w:rsids>
    <w:rsidRoot w:val="18DE6108"/>
    <w:rsid w:val="18DE6108"/>
    <w:rsid w:val="20C40D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styleId="7">
    <w:name w:val="Emphasis"/>
    <w:basedOn w:val="5"/>
    <w:qFormat/>
    <w:uiPriority w:val="0"/>
    <w:rPr>
      <w: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756</Words>
  <Characters>915</Characters>
  <Lines>0</Lines>
  <Paragraphs>0</Paragraphs>
  <TotalTime>7</TotalTime>
  <ScaleCrop>false</ScaleCrop>
  <LinksUpToDate>false</LinksUpToDate>
  <CharactersWithSpaces>937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2023-06-28T13:12:00Z</dcterms:created>
  <dc:creator>Administrator</dc:creator>
  <cp:lastModifiedBy>Administrator</cp:lastModifiedBy>
  <dcterms:modified xsi:type="dcterms:W3CDTF">2023-06-30T09:36:37Z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FB8DBF611005494E8D42FD41C0AD14B5_11</vt:lpwstr>
  </property>
</Properties>
</file>